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F9F2" w14:textId="77777777" w:rsidR="00D7069A" w:rsidRPr="00315B02" w:rsidRDefault="004763FA">
      <w:pPr>
        <w:spacing w:before="200" w:after="80"/>
        <w:jc w:val="center"/>
        <w:rPr>
          <w:rFonts w:ascii="Georgia" w:hAnsi="Georgia"/>
        </w:rPr>
      </w:pPr>
      <w:r w:rsidRPr="00315B02">
        <w:rPr>
          <w:rFonts w:ascii="Georgia" w:hAnsi="Georgia"/>
          <w:b/>
          <w:bCs/>
          <w:caps/>
          <w:color w:val="5FA8D3"/>
          <w:sz w:val="20"/>
          <w:szCs w:val="20"/>
        </w:rPr>
        <w:t>[YOUR COMMUNITY FOUNDATION]</w:t>
      </w:r>
    </w:p>
    <w:p w14:paraId="13D18A37" w14:textId="77777777" w:rsidR="00D7069A" w:rsidRPr="00315B02" w:rsidRDefault="004763FA">
      <w:pPr>
        <w:spacing w:before="160" w:after="60"/>
        <w:jc w:val="center"/>
        <w:rPr>
          <w:rFonts w:ascii="Georgia" w:hAnsi="Georgia"/>
        </w:rPr>
      </w:pPr>
      <w:r w:rsidRPr="00315B02">
        <w:rPr>
          <w:rFonts w:ascii="Georgia" w:hAnsi="Georgia"/>
          <w:b/>
          <w:bCs/>
          <w:color w:val="1B4965"/>
          <w:sz w:val="64"/>
          <w:szCs w:val="64"/>
        </w:rPr>
        <w:t>Here for Good</w:t>
      </w:r>
    </w:p>
    <w:p w14:paraId="68B01687" w14:textId="77777777" w:rsidR="00D7069A" w:rsidRPr="00315B02" w:rsidRDefault="004763FA">
      <w:pPr>
        <w:spacing w:after="200"/>
        <w:jc w:val="center"/>
        <w:rPr>
          <w:rFonts w:ascii="Georgia" w:hAnsi="Georgia"/>
        </w:rPr>
      </w:pPr>
      <w:r w:rsidRPr="00315B02">
        <w:rPr>
          <w:rFonts w:ascii="Georgia" w:hAnsi="Georgia"/>
          <w:i/>
          <w:iCs/>
          <w:color w:val="333333"/>
          <w:sz w:val="26"/>
          <w:szCs w:val="26"/>
        </w:rPr>
        <w:t>Building a Stronger Community, Together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32"/>
        <w:gridCol w:w="3057"/>
        <w:gridCol w:w="3331"/>
      </w:tblGrid>
      <w:tr w:rsidR="00D7069A" w:rsidRPr="00315B02" w14:paraId="20CAC26C" w14:textId="77777777">
        <w:tc>
          <w:tcPr>
            <w:tcW w:w="3400" w:type="dxa"/>
            <w:tcBorders>
              <w:top w:val="nil"/>
              <w:left w:val="nil"/>
              <w:bottom w:val="nil"/>
              <w:right w:val="nil"/>
            </w:tcBorders>
          </w:tcPr>
          <w:p w14:paraId="465D1BE0" w14:textId="77777777" w:rsidR="00D7069A" w:rsidRPr="00315B02" w:rsidRDefault="00D7069A">
            <w:pPr>
              <w:rPr>
                <w:rFonts w:ascii="Georgia" w:hAnsi="Georgia"/>
              </w:rPr>
            </w:pPr>
          </w:p>
        </w:tc>
        <w:tc>
          <w:tcPr>
            <w:tcW w:w="3120" w:type="dxa"/>
            <w:tcBorders>
              <w:top w:val="nil"/>
              <w:left w:val="nil"/>
              <w:bottom w:val="single" w:sz="20" w:space="0" w:color="CAAE53"/>
              <w:right w:val="nil"/>
            </w:tcBorders>
          </w:tcPr>
          <w:p w14:paraId="7D032A40" w14:textId="77777777" w:rsidR="00D7069A" w:rsidRPr="00315B02" w:rsidRDefault="00D7069A">
            <w:pPr>
              <w:rPr>
                <w:rFonts w:ascii="Georgia" w:hAnsi="Georgia"/>
              </w:rPr>
            </w:pPr>
          </w:p>
        </w:tc>
        <w:tc>
          <w:tcPr>
            <w:tcW w:w="3400" w:type="dxa"/>
            <w:tcBorders>
              <w:top w:val="nil"/>
              <w:left w:val="nil"/>
              <w:bottom w:val="nil"/>
              <w:right w:val="nil"/>
            </w:tcBorders>
          </w:tcPr>
          <w:p w14:paraId="7D78DD32" w14:textId="77777777" w:rsidR="00D7069A" w:rsidRPr="00315B02" w:rsidRDefault="00D7069A">
            <w:pPr>
              <w:rPr>
                <w:rFonts w:ascii="Georgia" w:hAnsi="Georgia"/>
              </w:rPr>
            </w:pPr>
          </w:p>
        </w:tc>
      </w:tr>
    </w:tbl>
    <w:p w14:paraId="1D917B6F" w14:textId="581DFBEE" w:rsidR="00D7069A" w:rsidRPr="00315B02" w:rsidRDefault="004763FA">
      <w:pPr>
        <w:spacing w:before="300" w:after="200"/>
        <w:rPr>
          <w:rFonts w:ascii="Georgia" w:hAnsi="Georgia"/>
        </w:rPr>
      </w:pPr>
      <w:r w:rsidRPr="00315B02">
        <w:rPr>
          <w:rFonts w:ascii="Georgia" w:hAnsi="Georgia"/>
          <w:color w:val="333333"/>
          <w:sz w:val="23"/>
          <w:szCs w:val="23"/>
        </w:rPr>
        <w:t>Every community has needs that shift over time. Economic downturns. Natural disasters. Changing demographics. Emerging opportunities. The question isn’t whether challenges will come</w:t>
      </w:r>
      <w:r w:rsidR="00406D88" w:rsidRPr="00315B02">
        <w:rPr>
          <w:rFonts w:ascii="Georgia" w:hAnsi="Georgia"/>
          <w:color w:val="333333"/>
          <w:sz w:val="23"/>
          <w:szCs w:val="23"/>
        </w:rPr>
        <w:t xml:space="preserve">, </w:t>
      </w:r>
      <w:r w:rsidRPr="00315B02">
        <w:rPr>
          <w:rFonts w:ascii="Georgia" w:hAnsi="Georgia"/>
          <w:color w:val="333333"/>
          <w:sz w:val="23"/>
          <w:szCs w:val="23"/>
        </w:rPr>
        <w:t>it’s whether we’ll be ready to meet them.</w:t>
      </w:r>
    </w:p>
    <w:p w14:paraId="71390EC3" w14:textId="1ABB9583" w:rsidR="00D7069A" w:rsidRPr="00315B02" w:rsidRDefault="004763FA">
      <w:pPr>
        <w:spacing w:after="240"/>
        <w:rPr>
          <w:rFonts w:ascii="Georgia" w:hAnsi="Georgia"/>
          <w:color w:val="333333"/>
          <w:sz w:val="23"/>
          <w:szCs w:val="23"/>
        </w:rPr>
      </w:pPr>
      <w:r w:rsidRPr="00315B02">
        <w:rPr>
          <w:rFonts w:ascii="Georgia" w:hAnsi="Georgia"/>
          <w:color w:val="333333"/>
          <w:sz w:val="23"/>
          <w:szCs w:val="23"/>
        </w:rPr>
        <w:t xml:space="preserve">For [XX] years, [Your Community Foundation] has served as the permanent philanthropic </w:t>
      </w:r>
      <w:r w:rsidR="00440353">
        <w:rPr>
          <w:rFonts w:ascii="Georgia" w:hAnsi="Georgia"/>
          <w:color w:val="333333"/>
          <w:sz w:val="23"/>
          <w:szCs w:val="23"/>
        </w:rPr>
        <w:t>engine</w:t>
      </w:r>
      <w:r w:rsidRPr="00315B02">
        <w:rPr>
          <w:rFonts w:ascii="Georgia" w:hAnsi="Georgia"/>
          <w:color w:val="333333"/>
          <w:sz w:val="23"/>
          <w:szCs w:val="23"/>
        </w:rPr>
        <w:t xml:space="preserve"> for our region</w:t>
      </w:r>
      <w:r w:rsidR="00FB0064" w:rsidRPr="00315B02">
        <w:rPr>
          <w:rFonts w:ascii="Georgia" w:hAnsi="Georgia"/>
          <w:color w:val="333333"/>
          <w:sz w:val="23"/>
          <w:szCs w:val="23"/>
        </w:rPr>
        <w:t xml:space="preserve">, </w:t>
      </w:r>
      <w:r w:rsidRPr="00315B02">
        <w:rPr>
          <w:rFonts w:ascii="Georgia" w:hAnsi="Georgia"/>
          <w:color w:val="333333"/>
          <w:sz w:val="23"/>
          <w:szCs w:val="23"/>
        </w:rPr>
        <w:t>connecting generous donors with pressing needs, convening leaders across sectors, and building resources that serve our community now and for generations to come.</w:t>
      </w:r>
    </w:p>
    <w:p w14:paraId="39EE60C6" w14:textId="77777777" w:rsidR="00406D88" w:rsidRPr="00315B02" w:rsidRDefault="00406D88" w:rsidP="00406D88">
      <w:pPr>
        <w:spacing w:before="120" w:after="180"/>
        <w:outlineLvl w:val="0"/>
        <w:rPr>
          <w:rFonts w:ascii="Georgia" w:hAnsi="Georg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90"/>
      </w:tblGrid>
      <w:tr w:rsidR="00D7069A" w:rsidRPr="00315B02" w14:paraId="5FAA0671" w14:textId="77777777">
        <w:tc>
          <w:tcPr>
            <w:tcW w:w="9720" w:type="dxa"/>
            <w:tcBorders>
              <w:top w:val="single" w:sz="4" w:space="0" w:color="CAAE53"/>
              <w:left w:val="single" w:sz="20" w:space="0" w:color="CAAE53"/>
              <w:bottom w:val="single" w:sz="4" w:space="0" w:color="CAAE53"/>
              <w:right w:val="single" w:sz="4" w:space="0" w:color="CAAE53"/>
            </w:tcBorders>
            <w:shd w:val="clear" w:color="auto" w:fill="F0F5F8"/>
            <w:tcMar>
              <w:top w:w="200" w:type="dxa"/>
              <w:left w:w="300" w:type="dxa"/>
              <w:bottom w:w="200" w:type="dxa"/>
              <w:right w:w="300" w:type="dxa"/>
            </w:tcMar>
          </w:tcPr>
          <w:p w14:paraId="34F84CF2" w14:textId="77777777" w:rsidR="00D7069A" w:rsidRPr="00315B02" w:rsidRDefault="004763FA">
            <w:pPr>
              <w:spacing w:after="60"/>
              <w:rPr>
                <w:rFonts w:ascii="Georgia" w:hAnsi="Georgia"/>
              </w:rPr>
            </w:pPr>
            <w:r w:rsidRPr="00315B02">
              <w:rPr>
                <w:rFonts w:ascii="Georgia" w:hAnsi="Georgia"/>
                <w:b/>
                <w:bCs/>
                <w:caps/>
                <w:color w:val="5FA8D3"/>
                <w:sz w:val="18"/>
                <w:szCs w:val="18"/>
              </w:rPr>
              <w:t>OUR PROMISE</w:t>
            </w:r>
          </w:p>
          <w:p w14:paraId="34ACAE5D" w14:textId="77777777" w:rsidR="00D7069A" w:rsidRPr="00315B02" w:rsidRDefault="004763FA">
            <w:pPr>
              <w:rPr>
                <w:rFonts w:ascii="Georgia" w:hAnsi="Georgia"/>
              </w:rPr>
            </w:pPr>
            <w:r w:rsidRPr="00315B02">
              <w:rPr>
                <w:rFonts w:ascii="Georgia" w:hAnsi="Georgia"/>
                <w:i/>
                <w:iCs/>
                <w:color w:val="1B4965"/>
              </w:rPr>
              <w:t>We will always put the needs of our community first.</w:t>
            </w:r>
          </w:p>
        </w:tc>
      </w:tr>
    </w:tbl>
    <w:p w14:paraId="18C60308" w14:textId="09034D6C" w:rsidR="00D7069A" w:rsidRPr="00315B02" w:rsidRDefault="004763FA">
      <w:pPr>
        <w:pStyle w:val="Heading1"/>
        <w:rPr>
          <w:rFonts w:ascii="Georgia" w:hAnsi="Georgia"/>
        </w:rPr>
      </w:pPr>
      <w:r w:rsidRPr="00315B02">
        <w:rPr>
          <w:rFonts w:ascii="Georgia" w:hAnsi="Georgia"/>
        </w:rPr>
        <w:t>What We Do</w:t>
      </w:r>
    </w:p>
    <w:p w14:paraId="7F6F058C" w14:textId="19279070" w:rsidR="00D7069A" w:rsidRPr="00315B02" w:rsidRDefault="00406D88" w:rsidP="00406D88">
      <w:pPr>
        <w:spacing w:after="200"/>
        <w:jc w:val="both"/>
        <w:rPr>
          <w:rFonts w:ascii="Georgia" w:hAnsi="Georgia"/>
        </w:rPr>
      </w:pPr>
      <w:r w:rsidRPr="00315B02">
        <w:rPr>
          <w:rFonts w:ascii="Georgia" w:hAnsi="Georgia"/>
          <w:color w:val="333333"/>
          <w:sz w:val="23"/>
          <w:szCs w:val="23"/>
        </w:rPr>
        <w:t>As a c</w:t>
      </w:r>
      <w:r w:rsidR="004763FA" w:rsidRPr="00315B02">
        <w:rPr>
          <w:rFonts w:ascii="Georgia" w:hAnsi="Georgia"/>
          <w:color w:val="333333"/>
          <w:sz w:val="23"/>
          <w:szCs w:val="23"/>
        </w:rPr>
        <w:t>ommunity foundation</w:t>
      </w:r>
      <w:r w:rsidRPr="00315B02">
        <w:rPr>
          <w:rFonts w:ascii="Georgia" w:hAnsi="Georgia"/>
          <w:color w:val="333333"/>
          <w:sz w:val="23"/>
          <w:szCs w:val="23"/>
        </w:rPr>
        <w:t>, we</w:t>
      </w:r>
      <w:r w:rsidR="004763FA" w:rsidRPr="00315B02">
        <w:rPr>
          <w:rFonts w:ascii="Georgia" w:hAnsi="Georgia"/>
          <w:color w:val="333333"/>
          <w:sz w:val="23"/>
          <w:szCs w:val="23"/>
        </w:rPr>
        <w:t xml:space="preserve"> occupy a unique space in the philanthropic landscape. We’re not a single charity serving a single cause</w:t>
      </w:r>
      <w:r w:rsidRPr="00315B02">
        <w:rPr>
          <w:rFonts w:ascii="Georgia" w:hAnsi="Georgia"/>
          <w:color w:val="333333"/>
          <w:sz w:val="23"/>
          <w:szCs w:val="23"/>
        </w:rPr>
        <w:t xml:space="preserve">, </w:t>
      </w:r>
      <w:r w:rsidR="004763FA" w:rsidRPr="00315B02">
        <w:rPr>
          <w:rFonts w:ascii="Georgia" w:hAnsi="Georgia"/>
          <w:color w:val="333333"/>
          <w:sz w:val="23"/>
          <w:szCs w:val="23"/>
        </w:rPr>
        <w:t>we’re the infrastructure that makes local giving work better for everyone. Our work falls into three essential areas:</w:t>
      </w:r>
    </w:p>
    <w:p w14:paraId="25CC55EC" w14:textId="77777777" w:rsidR="00A83E33" w:rsidRPr="00315B02" w:rsidRDefault="00A83E33" w:rsidP="00A83E33">
      <w:pPr>
        <w:pStyle w:val="Heading2"/>
        <w:spacing w:before="200" w:after="100"/>
        <w:ind w:left="270"/>
        <w:jc w:val="both"/>
        <w:rPr>
          <w:rFonts w:ascii="Georgia" w:hAnsi="Georgia"/>
        </w:rPr>
      </w:pPr>
      <w:r w:rsidRPr="00315B02">
        <w:rPr>
          <w:rFonts w:ascii="Georgia" w:hAnsi="Georgia"/>
        </w:rPr>
        <w:t>Coordinating Impact Through Partnerships</w:t>
      </w:r>
    </w:p>
    <w:p w14:paraId="2B08FC2D" w14:textId="77777777" w:rsidR="00A83E33" w:rsidRPr="00315B02" w:rsidRDefault="00A83E33" w:rsidP="00A83E33">
      <w:pPr>
        <w:spacing w:after="180"/>
        <w:ind w:left="270"/>
        <w:jc w:val="both"/>
        <w:rPr>
          <w:rFonts w:ascii="Georgia" w:hAnsi="Georgia"/>
        </w:rPr>
      </w:pPr>
      <w:r w:rsidRPr="00315B02">
        <w:rPr>
          <w:rFonts w:ascii="Georgia" w:hAnsi="Georgia"/>
          <w:color w:val="333333"/>
          <w:sz w:val="22"/>
          <w:szCs w:val="22"/>
        </w:rPr>
        <w:t>Complex community challenges don’t respect organizational boundaries. That’s why we bring together elected officials, business leaders, philanthropists, nonprofits, and civic leaders to tackle issues collaboratively. We convene conversations, align resources, share data, and help partners see opportunities they might miss working alone. When the right people are at the table, solutions emerge that no single organization could achieve.</w:t>
      </w:r>
    </w:p>
    <w:p w14:paraId="12BF2217" w14:textId="77777777" w:rsidR="00A83E33" w:rsidRPr="00315B02" w:rsidRDefault="00A83E33" w:rsidP="00A83E33">
      <w:pPr>
        <w:pStyle w:val="Heading2"/>
        <w:spacing w:before="240" w:after="100"/>
        <w:ind w:left="270"/>
        <w:jc w:val="both"/>
        <w:rPr>
          <w:rFonts w:ascii="Georgia" w:hAnsi="Georgia"/>
        </w:rPr>
      </w:pPr>
      <w:r w:rsidRPr="00315B02">
        <w:rPr>
          <w:rFonts w:ascii="Georgia" w:hAnsi="Georgia"/>
        </w:rPr>
        <w:t>Encouraging &amp; Promoting Philanthropy</w:t>
      </w:r>
    </w:p>
    <w:p w14:paraId="498B9ABB" w14:textId="58A0A7B7" w:rsidR="00A83E33" w:rsidRPr="00315B02" w:rsidRDefault="00A83E33" w:rsidP="00A83E33">
      <w:pPr>
        <w:spacing w:after="180"/>
        <w:ind w:left="270"/>
        <w:jc w:val="both"/>
        <w:rPr>
          <w:rFonts w:ascii="Georgia" w:hAnsi="Georgia"/>
          <w:color w:val="333333"/>
          <w:sz w:val="22"/>
          <w:szCs w:val="22"/>
        </w:rPr>
      </w:pPr>
      <w:r w:rsidRPr="00315B02">
        <w:rPr>
          <w:rFonts w:ascii="Georgia" w:hAnsi="Georgia"/>
          <w:color w:val="333333"/>
          <w:sz w:val="22"/>
          <w:szCs w:val="22"/>
        </w:rPr>
        <w:t xml:space="preserve">We make it easy and meaningful for people to give. Through charitable endowments, scholarship awards, charitable estate planning, and our community-wide giving day, we help individuals, families, and businesses connect their resources to the causes they care about. Whether someone wants to support education, the arts, human services, or the environment, we provide expertise and vehicles to make that giving effective. </w:t>
      </w:r>
    </w:p>
    <w:p w14:paraId="0BBBD1A0" w14:textId="77777777" w:rsidR="00A83E33" w:rsidRPr="00315B02" w:rsidRDefault="00A83E33" w:rsidP="00A83E33">
      <w:pPr>
        <w:spacing w:after="100"/>
        <w:ind w:left="270"/>
        <w:jc w:val="both"/>
        <w:rPr>
          <w:rFonts w:ascii="Georgia" w:hAnsi="Georgia"/>
          <w:color w:val="333333"/>
          <w:sz w:val="22"/>
          <w:szCs w:val="22"/>
        </w:rPr>
      </w:pPr>
      <w:r w:rsidRPr="00315B02">
        <w:rPr>
          <w:rFonts w:ascii="Georgia" w:hAnsi="Georgia"/>
          <w:color w:val="333333"/>
          <w:sz w:val="22"/>
          <w:szCs w:val="22"/>
        </w:rPr>
        <w:t xml:space="preserve">Local philanthropy also serves as a catalyst for larger investments. Many state and federal grants require demonstrated commitment. Our advocacy helps bring in federal funding to [Your] County each year, funding that flows here because we've built the local infrastructure to support it. </w:t>
      </w:r>
    </w:p>
    <w:p w14:paraId="3F65AADC" w14:textId="77777777" w:rsidR="00A83E33" w:rsidRPr="00315B02" w:rsidRDefault="00A83E33" w:rsidP="00A83E33">
      <w:pPr>
        <w:pStyle w:val="Heading2"/>
        <w:spacing w:before="200" w:after="100"/>
        <w:ind w:left="270"/>
        <w:jc w:val="both"/>
        <w:rPr>
          <w:rFonts w:ascii="Georgia" w:hAnsi="Georgia"/>
        </w:rPr>
      </w:pPr>
      <w:r w:rsidRPr="00315B02">
        <w:rPr>
          <w:rFonts w:ascii="Georgia" w:hAnsi="Georgia"/>
        </w:rPr>
        <w:t>Growing a Permanent Civic Endowment</w:t>
      </w:r>
    </w:p>
    <w:p w14:paraId="3A589B8E" w14:textId="77777777" w:rsidR="00A83E33" w:rsidRPr="00315B02" w:rsidRDefault="00A83E33" w:rsidP="00A83E33">
      <w:pPr>
        <w:spacing w:after="180"/>
        <w:ind w:left="270"/>
        <w:jc w:val="both"/>
        <w:rPr>
          <w:rFonts w:ascii="Georgia" w:hAnsi="Georgia"/>
          <w:color w:val="333333"/>
          <w:sz w:val="22"/>
          <w:szCs w:val="22"/>
        </w:rPr>
      </w:pPr>
      <w:r w:rsidRPr="00315B02">
        <w:rPr>
          <w:rFonts w:ascii="Georgia" w:hAnsi="Georgia"/>
          <w:color w:val="333333"/>
          <w:sz w:val="22"/>
          <w:szCs w:val="22"/>
        </w:rPr>
        <w:t xml:space="preserve">We build and steward charitable assets that will serve this community forever. These permanent funds, some designated for specific purposes, others flexible to meet emerging needs, generate </w:t>
      </w:r>
      <w:r w:rsidRPr="00315B02">
        <w:rPr>
          <w:rFonts w:ascii="Georgia" w:hAnsi="Georgia"/>
          <w:color w:val="333333"/>
          <w:sz w:val="22"/>
          <w:szCs w:val="22"/>
        </w:rPr>
        <w:lastRenderedPageBreak/>
        <w:t>resources year after year. We deploy dollars strategically: where they're needed, when they're needed.</w:t>
      </w:r>
    </w:p>
    <w:p w14:paraId="3D96FCD4" w14:textId="77777777" w:rsidR="0096229A" w:rsidRPr="00315B02" w:rsidRDefault="00A83E33" w:rsidP="00EF5998">
      <w:pPr>
        <w:spacing w:after="180"/>
        <w:ind w:left="270"/>
        <w:jc w:val="both"/>
        <w:rPr>
          <w:rFonts w:ascii="Georgia" w:hAnsi="Georgia"/>
          <w:color w:val="333333"/>
          <w:sz w:val="22"/>
          <w:szCs w:val="22"/>
        </w:rPr>
      </w:pPr>
      <w:r w:rsidRPr="00315B02">
        <w:rPr>
          <w:rFonts w:ascii="Georgia" w:hAnsi="Georgia"/>
          <w:color w:val="333333"/>
          <w:sz w:val="22"/>
          <w:szCs w:val="22"/>
        </w:rPr>
        <w:t>Donors trust us not just to distribute their gifts, but to grow them. By pooling charitable assets, we invest at a scale that individual donors can't match on their own - accessing opportunities, reducing costs, and maximizing returns. A gift to the Foundation doesn't just do good once; it keeps working, year after year, for generations to come.</w:t>
      </w:r>
    </w:p>
    <w:p w14:paraId="31AA6A34" w14:textId="77777777" w:rsidR="002432C2" w:rsidRPr="00315B02" w:rsidRDefault="002432C2" w:rsidP="002432C2">
      <w:pPr>
        <w:pStyle w:val="Heading1"/>
        <w:rPr>
          <w:rFonts w:ascii="Georgia" w:hAnsi="Georgia"/>
        </w:rPr>
      </w:pPr>
      <w:r w:rsidRPr="00315B02">
        <w:rPr>
          <w:rFonts w:ascii="Georgia" w:hAnsi="Georgia"/>
        </w:rPr>
        <w:t>Our Impact</w:t>
      </w:r>
    </w:p>
    <w:p w14:paraId="71B90875" w14:textId="77777777" w:rsidR="002432C2" w:rsidRPr="00315B02" w:rsidRDefault="002432C2" w:rsidP="002432C2">
      <w:pPr>
        <w:spacing w:after="200"/>
        <w:rPr>
          <w:rFonts w:ascii="Georgia" w:hAnsi="Georgia"/>
        </w:rPr>
      </w:pPr>
      <w:r w:rsidRPr="00315B02">
        <w:rPr>
          <w:rFonts w:ascii="Georgia" w:hAnsi="Georgia"/>
          <w:color w:val="333333"/>
          <w:sz w:val="23"/>
          <w:szCs w:val="23"/>
        </w:rPr>
        <w:t>The numbers tell part of the story: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55"/>
        <w:gridCol w:w="4855"/>
      </w:tblGrid>
      <w:tr w:rsidR="002432C2" w:rsidRPr="00315B02" w14:paraId="31872E55" w14:textId="77777777" w:rsidTr="0097620B">
        <w:tc>
          <w:tcPr>
            <w:tcW w:w="4860" w:type="dxa"/>
            <w:tcBorders>
              <w:top w:val="single" w:sz="4" w:space="0" w:color="F0F5F8"/>
              <w:left w:val="single" w:sz="4" w:space="0" w:color="F0F5F8"/>
              <w:bottom w:val="single" w:sz="4" w:space="0" w:color="F0F5F8"/>
              <w:right w:val="single" w:sz="4" w:space="0" w:color="F0F5F8"/>
            </w:tcBorders>
            <w:shd w:val="clear" w:color="auto" w:fill="F0F5F8"/>
            <w:tcMar>
              <w:top w:w="180" w:type="dxa"/>
              <w:left w:w="150" w:type="dxa"/>
              <w:bottom w:w="180" w:type="dxa"/>
              <w:right w:w="150" w:type="dxa"/>
            </w:tcMar>
            <w:vAlign w:val="center"/>
          </w:tcPr>
          <w:p w14:paraId="628659DA" w14:textId="77777777" w:rsidR="002432C2" w:rsidRPr="00315B02" w:rsidRDefault="002432C2" w:rsidP="0097620B">
            <w:pPr>
              <w:jc w:val="center"/>
              <w:rPr>
                <w:rFonts w:ascii="Georgia" w:hAnsi="Georgia"/>
              </w:rPr>
            </w:pPr>
            <w:r w:rsidRPr="00315B02">
              <w:rPr>
                <w:rFonts w:ascii="Georgia" w:hAnsi="Georgia"/>
                <w:b/>
                <w:bCs/>
                <w:color w:val="1B4965"/>
                <w:sz w:val="40"/>
                <w:szCs w:val="40"/>
              </w:rPr>
              <w:t>$XX Million</w:t>
            </w:r>
          </w:p>
          <w:p w14:paraId="5731E905" w14:textId="77777777" w:rsidR="002432C2" w:rsidRPr="00315B02" w:rsidRDefault="002432C2" w:rsidP="0097620B">
            <w:pPr>
              <w:jc w:val="center"/>
              <w:rPr>
                <w:rFonts w:ascii="Georgia" w:hAnsi="Georgia"/>
              </w:rPr>
            </w:pPr>
            <w:r w:rsidRPr="00315B02">
              <w:rPr>
                <w:rFonts w:ascii="Georgia" w:hAnsi="Georgia"/>
                <w:color w:val="333333"/>
                <w:sz w:val="18"/>
                <w:szCs w:val="18"/>
              </w:rPr>
              <w:t>in charitable assets under management</w:t>
            </w:r>
          </w:p>
        </w:tc>
        <w:tc>
          <w:tcPr>
            <w:tcW w:w="4860" w:type="dxa"/>
            <w:tcBorders>
              <w:top w:val="single" w:sz="4" w:space="0" w:color="F0F5F8"/>
              <w:left w:val="single" w:sz="4" w:space="0" w:color="F0F5F8"/>
              <w:bottom w:val="single" w:sz="4" w:space="0" w:color="F0F5F8"/>
              <w:right w:val="single" w:sz="4" w:space="0" w:color="F0F5F8"/>
            </w:tcBorders>
            <w:shd w:val="clear" w:color="auto" w:fill="F0F5F8"/>
            <w:tcMar>
              <w:top w:w="180" w:type="dxa"/>
              <w:left w:w="150" w:type="dxa"/>
              <w:bottom w:w="180" w:type="dxa"/>
              <w:right w:w="150" w:type="dxa"/>
            </w:tcMar>
            <w:vAlign w:val="center"/>
          </w:tcPr>
          <w:p w14:paraId="30C54314" w14:textId="77777777" w:rsidR="002432C2" w:rsidRPr="00315B02" w:rsidRDefault="002432C2" w:rsidP="0097620B">
            <w:pPr>
              <w:jc w:val="center"/>
              <w:rPr>
                <w:rFonts w:ascii="Georgia" w:hAnsi="Georgia"/>
              </w:rPr>
            </w:pPr>
            <w:r w:rsidRPr="00315B02">
              <w:rPr>
                <w:rFonts w:ascii="Georgia" w:hAnsi="Georgia"/>
                <w:b/>
                <w:bCs/>
                <w:color w:val="1B4965"/>
                <w:sz w:val="40"/>
                <w:szCs w:val="40"/>
              </w:rPr>
              <w:t>XXX+</w:t>
            </w:r>
          </w:p>
          <w:p w14:paraId="1AAB1D13" w14:textId="77777777" w:rsidR="002432C2" w:rsidRPr="00315B02" w:rsidRDefault="002432C2" w:rsidP="0097620B">
            <w:pPr>
              <w:jc w:val="center"/>
              <w:rPr>
                <w:rFonts w:ascii="Georgia" w:hAnsi="Georgia"/>
              </w:rPr>
            </w:pPr>
            <w:r w:rsidRPr="00315B02">
              <w:rPr>
                <w:rFonts w:ascii="Georgia" w:hAnsi="Georgia"/>
                <w:color w:val="333333"/>
                <w:sz w:val="18"/>
                <w:szCs w:val="18"/>
              </w:rPr>
              <w:t>endowed funds designated for [Your Community]</w:t>
            </w:r>
          </w:p>
        </w:tc>
      </w:tr>
      <w:tr w:rsidR="002432C2" w:rsidRPr="00315B02" w14:paraId="411103A7" w14:textId="77777777" w:rsidTr="0097620B">
        <w:tc>
          <w:tcPr>
            <w:tcW w:w="4860" w:type="dxa"/>
            <w:tcBorders>
              <w:top w:val="single" w:sz="4" w:space="0" w:color="F0F5F8"/>
              <w:left w:val="single" w:sz="4" w:space="0" w:color="F0F5F8"/>
              <w:bottom w:val="single" w:sz="4" w:space="0" w:color="F0F5F8"/>
              <w:right w:val="single" w:sz="4" w:space="0" w:color="F0F5F8"/>
            </w:tcBorders>
            <w:shd w:val="clear" w:color="auto" w:fill="F0F5F8"/>
            <w:tcMar>
              <w:top w:w="180" w:type="dxa"/>
              <w:left w:w="150" w:type="dxa"/>
              <w:bottom w:w="180" w:type="dxa"/>
              <w:right w:w="150" w:type="dxa"/>
            </w:tcMar>
            <w:vAlign w:val="center"/>
          </w:tcPr>
          <w:p w14:paraId="2A0930D9" w14:textId="77777777" w:rsidR="002432C2" w:rsidRPr="00315B02" w:rsidRDefault="002432C2" w:rsidP="0097620B">
            <w:pPr>
              <w:jc w:val="center"/>
              <w:rPr>
                <w:rFonts w:ascii="Georgia" w:hAnsi="Georgia"/>
              </w:rPr>
            </w:pPr>
            <w:r w:rsidRPr="00315B02">
              <w:rPr>
                <w:rFonts w:ascii="Georgia" w:hAnsi="Georgia"/>
                <w:b/>
                <w:bCs/>
                <w:color w:val="1B4965"/>
                <w:sz w:val="40"/>
                <w:szCs w:val="40"/>
              </w:rPr>
              <w:t>$X.X Million</w:t>
            </w:r>
          </w:p>
          <w:p w14:paraId="3DA3B0A0" w14:textId="77777777" w:rsidR="002432C2" w:rsidRPr="00315B02" w:rsidRDefault="002432C2" w:rsidP="0097620B">
            <w:pPr>
              <w:jc w:val="center"/>
              <w:rPr>
                <w:rFonts w:ascii="Georgia" w:hAnsi="Georgia"/>
              </w:rPr>
            </w:pPr>
            <w:r w:rsidRPr="00315B02">
              <w:rPr>
                <w:rFonts w:ascii="Georgia" w:hAnsi="Georgia"/>
                <w:color w:val="333333"/>
                <w:sz w:val="18"/>
                <w:szCs w:val="18"/>
              </w:rPr>
              <w:t>granted to local nonprofits last year</w:t>
            </w:r>
          </w:p>
        </w:tc>
        <w:tc>
          <w:tcPr>
            <w:tcW w:w="4860" w:type="dxa"/>
            <w:tcBorders>
              <w:top w:val="single" w:sz="4" w:space="0" w:color="F0F5F8"/>
              <w:left w:val="single" w:sz="4" w:space="0" w:color="F0F5F8"/>
              <w:bottom w:val="single" w:sz="4" w:space="0" w:color="F0F5F8"/>
              <w:right w:val="single" w:sz="4" w:space="0" w:color="F0F5F8"/>
            </w:tcBorders>
            <w:shd w:val="clear" w:color="auto" w:fill="F0F5F8"/>
            <w:tcMar>
              <w:top w:w="180" w:type="dxa"/>
              <w:left w:w="150" w:type="dxa"/>
              <w:bottom w:w="180" w:type="dxa"/>
              <w:right w:w="150" w:type="dxa"/>
            </w:tcMar>
            <w:vAlign w:val="center"/>
          </w:tcPr>
          <w:p w14:paraId="4BBBC204" w14:textId="77777777" w:rsidR="002432C2" w:rsidRPr="00315B02" w:rsidRDefault="002432C2" w:rsidP="0097620B">
            <w:pPr>
              <w:jc w:val="center"/>
              <w:rPr>
                <w:rFonts w:ascii="Georgia" w:hAnsi="Georgia"/>
              </w:rPr>
            </w:pPr>
            <w:r w:rsidRPr="00315B02">
              <w:rPr>
                <w:rFonts w:ascii="Georgia" w:hAnsi="Georgia"/>
                <w:b/>
                <w:bCs/>
                <w:color w:val="1B4965"/>
                <w:sz w:val="40"/>
                <w:szCs w:val="40"/>
              </w:rPr>
              <w:t>XX Years</w:t>
            </w:r>
          </w:p>
          <w:p w14:paraId="7D0EEFC3" w14:textId="77777777" w:rsidR="002432C2" w:rsidRPr="00315B02" w:rsidRDefault="002432C2" w:rsidP="0097620B">
            <w:pPr>
              <w:jc w:val="center"/>
              <w:rPr>
                <w:rFonts w:ascii="Georgia" w:hAnsi="Georgia"/>
              </w:rPr>
            </w:pPr>
            <w:r w:rsidRPr="00315B02">
              <w:rPr>
                <w:rFonts w:ascii="Georgia" w:hAnsi="Georgia"/>
                <w:color w:val="333333"/>
                <w:sz w:val="18"/>
                <w:szCs w:val="18"/>
              </w:rPr>
              <w:t>serving this community</w:t>
            </w:r>
          </w:p>
        </w:tc>
      </w:tr>
    </w:tbl>
    <w:p w14:paraId="33AFFBB5" w14:textId="77777777" w:rsidR="002432C2" w:rsidRPr="00315B02" w:rsidRDefault="002432C2" w:rsidP="002432C2">
      <w:pPr>
        <w:rPr>
          <w:rFonts w:ascii="Georgia" w:hAnsi="Georgia"/>
          <w:color w:val="333333"/>
          <w:sz w:val="23"/>
          <w:szCs w:val="23"/>
        </w:rPr>
      </w:pPr>
    </w:p>
    <w:p w14:paraId="44C5E23A" w14:textId="3A5D987E" w:rsidR="002432C2" w:rsidRPr="00315B02" w:rsidRDefault="002432C2" w:rsidP="002432C2">
      <w:pPr>
        <w:rPr>
          <w:rFonts w:ascii="Georgia" w:hAnsi="Georgia"/>
        </w:rPr>
      </w:pPr>
      <w:r w:rsidRPr="00315B02">
        <w:rPr>
          <w:rFonts w:ascii="Georgia" w:hAnsi="Georgia"/>
          <w:color w:val="333333"/>
          <w:sz w:val="23"/>
          <w:szCs w:val="23"/>
        </w:rPr>
        <w:t>But the real impact shows up in our neighbors’ lives: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95"/>
      </w:tblGrid>
      <w:tr w:rsidR="002432C2" w:rsidRPr="00315B02" w14:paraId="4395C0D1" w14:textId="77777777" w:rsidTr="0097620B">
        <w:tc>
          <w:tcPr>
            <w:tcW w:w="9720" w:type="dxa"/>
            <w:tcBorders>
              <w:top w:val="nil"/>
              <w:left w:val="single" w:sz="20" w:space="0" w:color="5FA8D3"/>
              <w:bottom w:val="nil"/>
              <w:right w:val="nil"/>
            </w:tcBorders>
            <w:tcMar>
              <w:top w:w="120" w:type="dxa"/>
              <w:left w:w="250" w:type="dxa"/>
              <w:bottom w:w="120" w:type="dxa"/>
              <w:right w:w="150" w:type="dxa"/>
            </w:tcMar>
          </w:tcPr>
          <w:p w14:paraId="7684ACA0" w14:textId="77777777" w:rsidR="002432C2" w:rsidRPr="00315B02" w:rsidRDefault="002432C2" w:rsidP="0097620B">
            <w:pPr>
              <w:spacing w:after="120"/>
              <w:rPr>
                <w:rFonts w:ascii="Georgia" w:hAnsi="Georgia"/>
              </w:rPr>
            </w:pPr>
            <w:r w:rsidRPr="00315B02">
              <w:rPr>
                <w:rFonts w:ascii="Georgia" w:hAnsi="Georgia"/>
                <w:b/>
                <w:bCs/>
                <w:color w:val="1B4965"/>
                <w:sz w:val="22"/>
                <w:szCs w:val="22"/>
              </w:rPr>
              <w:t xml:space="preserve">The first-generation college student </w:t>
            </w:r>
            <w:r w:rsidRPr="00315B02">
              <w:rPr>
                <w:rFonts w:ascii="Georgia" w:hAnsi="Georgia"/>
                <w:color w:val="333333"/>
                <w:sz w:val="22"/>
                <w:szCs w:val="22"/>
              </w:rPr>
              <w:t>whose scholarship fund was established by a donor who never went to college herself</w:t>
            </w:r>
          </w:p>
          <w:p w14:paraId="5ADF62FF" w14:textId="77777777" w:rsidR="002432C2" w:rsidRPr="00315B02" w:rsidRDefault="002432C2" w:rsidP="0097620B">
            <w:pPr>
              <w:spacing w:after="120"/>
              <w:rPr>
                <w:rFonts w:ascii="Georgia" w:hAnsi="Georgia"/>
              </w:rPr>
            </w:pPr>
            <w:r w:rsidRPr="00315B02">
              <w:rPr>
                <w:rFonts w:ascii="Georgia" w:hAnsi="Georgia"/>
                <w:b/>
                <w:bCs/>
                <w:color w:val="1B4965"/>
                <w:sz w:val="22"/>
                <w:szCs w:val="22"/>
              </w:rPr>
              <w:t xml:space="preserve">The shelter </w:t>
            </w:r>
            <w:r w:rsidRPr="00315B02">
              <w:rPr>
                <w:rFonts w:ascii="Georgia" w:hAnsi="Georgia"/>
                <w:color w:val="333333"/>
                <w:sz w:val="22"/>
                <w:szCs w:val="22"/>
              </w:rPr>
              <w:t>that kept its doors open through a brutal February because flexible dollars arrived within 48 hours</w:t>
            </w:r>
          </w:p>
          <w:p w14:paraId="46E5A7A1" w14:textId="77777777" w:rsidR="002432C2" w:rsidRPr="00315B02" w:rsidRDefault="002432C2" w:rsidP="0097620B">
            <w:pPr>
              <w:spacing w:after="120"/>
              <w:rPr>
                <w:rFonts w:ascii="Georgia" w:hAnsi="Georgia"/>
              </w:rPr>
            </w:pPr>
            <w:r w:rsidRPr="00315B02">
              <w:rPr>
                <w:rFonts w:ascii="Georgia" w:hAnsi="Georgia"/>
                <w:b/>
                <w:bCs/>
                <w:color w:val="1B4965"/>
                <w:sz w:val="22"/>
                <w:szCs w:val="22"/>
              </w:rPr>
              <w:t xml:space="preserve">The family </w:t>
            </w:r>
            <w:r w:rsidRPr="00315B02">
              <w:rPr>
                <w:rFonts w:ascii="Georgia" w:hAnsi="Georgia"/>
                <w:color w:val="333333"/>
                <w:sz w:val="22"/>
                <w:szCs w:val="22"/>
              </w:rPr>
              <w:t>experiencing the gap between job loss and first unemployment check who had food to eat because a rapid response grant reached the local food bank</w:t>
            </w:r>
          </w:p>
          <w:p w14:paraId="735CA0E7" w14:textId="77777777" w:rsidR="002432C2" w:rsidRPr="00315B02" w:rsidRDefault="002432C2" w:rsidP="0097620B">
            <w:pPr>
              <w:rPr>
                <w:rFonts w:ascii="Georgia" w:hAnsi="Georgia"/>
              </w:rPr>
            </w:pPr>
            <w:r w:rsidRPr="00315B02">
              <w:rPr>
                <w:rFonts w:ascii="Georgia" w:hAnsi="Georgia"/>
                <w:b/>
                <w:bCs/>
                <w:color w:val="1B4965"/>
                <w:sz w:val="22"/>
                <w:szCs w:val="22"/>
              </w:rPr>
              <w:t xml:space="preserve">The workforce development initiative </w:t>
            </w:r>
            <w:r w:rsidRPr="00315B02">
              <w:rPr>
                <w:rFonts w:ascii="Georgia" w:hAnsi="Georgia"/>
                <w:color w:val="333333"/>
                <w:sz w:val="22"/>
                <w:szCs w:val="22"/>
              </w:rPr>
              <w:t>that emerged when three organizations realized they were serving the same families separately</w:t>
            </w:r>
          </w:p>
        </w:tc>
      </w:tr>
    </w:tbl>
    <w:p w14:paraId="2AAD6856" w14:textId="77777777" w:rsidR="002432C2" w:rsidRPr="00315B02" w:rsidRDefault="002432C2" w:rsidP="00EF5998">
      <w:pPr>
        <w:spacing w:after="180"/>
        <w:ind w:left="270"/>
        <w:jc w:val="both"/>
        <w:rPr>
          <w:rFonts w:ascii="Georgia" w:hAnsi="Georgia"/>
          <w:b/>
          <w:bCs/>
          <w:color w:val="1B4965"/>
          <w:sz w:val="32"/>
          <w:szCs w:val="32"/>
        </w:rPr>
      </w:pPr>
    </w:p>
    <w:p w14:paraId="08576754" w14:textId="015811BE" w:rsidR="00D7069A" w:rsidRPr="00315B02" w:rsidRDefault="004763FA" w:rsidP="00EF5998">
      <w:pPr>
        <w:spacing w:after="180"/>
        <w:ind w:left="270"/>
        <w:jc w:val="both"/>
        <w:rPr>
          <w:rFonts w:ascii="Georgia" w:hAnsi="Georgia"/>
        </w:rPr>
      </w:pPr>
      <w:r w:rsidRPr="00315B02">
        <w:rPr>
          <w:rFonts w:ascii="Georgia" w:hAnsi="Georgia"/>
          <w:b/>
          <w:bCs/>
          <w:color w:val="1B4965"/>
          <w:sz w:val="32"/>
          <w:szCs w:val="32"/>
        </w:rPr>
        <w:t>Why This Matters Now</w:t>
      </w:r>
    </w:p>
    <w:p w14:paraId="1C23BA04" w14:textId="5A0DC625" w:rsidR="00D7069A" w:rsidRPr="00315B02" w:rsidRDefault="002432C2" w:rsidP="0096229A">
      <w:pPr>
        <w:tabs>
          <w:tab w:val="left" w:pos="270"/>
        </w:tabs>
        <w:spacing w:after="160"/>
        <w:ind w:left="270"/>
        <w:rPr>
          <w:rFonts w:ascii="Georgia" w:hAnsi="Georgia"/>
        </w:rPr>
      </w:pPr>
      <w:r w:rsidRPr="00315B02">
        <w:rPr>
          <w:rFonts w:ascii="Georgia" w:hAnsi="Georgia"/>
          <w:color w:val="333333"/>
          <w:sz w:val="23"/>
          <w:szCs w:val="23"/>
        </w:rPr>
        <w:t xml:space="preserve">Our </w:t>
      </w:r>
      <w:r w:rsidR="004763FA" w:rsidRPr="00315B02">
        <w:rPr>
          <w:rFonts w:ascii="Georgia" w:hAnsi="Georgia"/>
          <w:color w:val="333333"/>
          <w:sz w:val="23"/>
          <w:szCs w:val="23"/>
        </w:rPr>
        <w:t>communit</w:t>
      </w:r>
      <w:r w:rsidRPr="00315B02">
        <w:rPr>
          <w:rFonts w:ascii="Georgia" w:hAnsi="Georgia"/>
          <w:color w:val="333333"/>
          <w:sz w:val="23"/>
          <w:szCs w:val="23"/>
        </w:rPr>
        <w:t>y</w:t>
      </w:r>
      <w:r w:rsidR="004763FA" w:rsidRPr="00315B02">
        <w:rPr>
          <w:rFonts w:ascii="Georgia" w:hAnsi="Georgia"/>
          <w:color w:val="333333"/>
          <w:sz w:val="23"/>
          <w:szCs w:val="23"/>
        </w:rPr>
        <w:t xml:space="preserve"> face</w:t>
      </w:r>
      <w:r w:rsidRPr="00315B02">
        <w:rPr>
          <w:rFonts w:ascii="Georgia" w:hAnsi="Georgia"/>
          <w:color w:val="333333"/>
          <w:sz w:val="23"/>
          <w:szCs w:val="23"/>
        </w:rPr>
        <w:t>s</w:t>
      </w:r>
      <w:r w:rsidR="004763FA" w:rsidRPr="00315B02">
        <w:rPr>
          <w:rFonts w:ascii="Georgia" w:hAnsi="Georgia"/>
          <w:color w:val="333333"/>
          <w:sz w:val="23"/>
          <w:szCs w:val="23"/>
        </w:rPr>
        <w:t xml:space="preserve"> challenges </w:t>
      </w:r>
      <w:r w:rsidRPr="00315B02">
        <w:rPr>
          <w:rFonts w:ascii="Georgia" w:hAnsi="Georgia"/>
          <w:color w:val="333333"/>
          <w:sz w:val="23"/>
          <w:szCs w:val="23"/>
        </w:rPr>
        <w:t xml:space="preserve">and opportunities </w:t>
      </w:r>
      <w:r w:rsidR="004763FA" w:rsidRPr="00315B02">
        <w:rPr>
          <w:rFonts w:ascii="Georgia" w:hAnsi="Georgia"/>
          <w:color w:val="333333"/>
          <w:sz w:val="23"/>
          <w:szCs w:val="23"/>
        </w:rPr>
        <w:t>that shift with each generation. Today, our neighbors struggle with:</w:t>
      </w:r>
    </w:p>
    <w:p w14:paraId="21A3DD48" w14:textId="77777777" w:rsidR="00D7069A" w:rsidRPr="00315B02" w:rsidRDefault="004763FA" w:rsidP="0096229A">
      <w:pPr>
        <w:pStyle w:val="ListParagraph"/>
        <w:numPr>
          <w:ilvl w:val="0"/>
          <w:numId w:val="2"/>
        </w:numPr>
        <w:tabs>
          <w:tab w:val="left" w:pos="270"/>
        </w:tabs>
        <w:spacing w:after="80"/>
        <w:ind w:left="990"/>
        <w:rPr>
          <w:rFonts w:ascii="Georgia" w:hAnsi="Georgia"/>
        </w:rPr>
      </w:pPr>
      <w:r w:rsidRPr="00315B02">
        <w:rPr>
          <w:rFonts w:ascii="Georgia" w:hAnsi="Georgia"/>
          <w:color w:val="333333"/>
          <w:sz w:val="22"/>
          <w:szCs w:val="22"/>
        </w:rPr>
        <w:t>Food insecurity affecting one in seven families</w:t>
      </w:r>
    </w:p>
    <w:p w14:paraId="266CE4FB" w14:textId="77777777" w:rsidR="00D7069A" w:rsidRPr="00315B02" w:rsidRDefault="004763FA" w:rsidP="0096229A">
      <w:pPr>
        <w:pStyle w:val="ListParagraph"/>
        <w:numPr>
          <w:ilvl w:val="0"/>
          <w:numId w:val="2"/>
        </w:numPr>
        <w:tabs>
          <w:tab w:val="left" w:pos="270"/>
        </w:tabs>
        <w:spacing w:after="80"/>
        <w:ind w:left="990"/>
        <w:rPr>
          <w:rFonts w:ascii="Georgia" w:hAnsi="Georgia"/>
        </w:rPr>
      </w:pPr>
      <w:r w:rsidRPr="00315B02">
        <w:rPr>
          <w:rFonts w:ascii="Georgia" w:hAnsi="Georgia"/>
          <w:color w:val="333333"/>
          <w:sz w:val="22"/>
          <w:szCs w:val="22"/>
        </w:rPr>
        <w:t>Affordable housing shortages displacing working families</w:t>
      </w:r>
    </w:p>
    <w:p w14:paraId="3A993226" w14:textId="77777777" w:rsidR="00D7069A" w:rsidRPr="00315B02" w:rsidRDefault="004763FA" w:rsidP="0096229A">
      <w:pPr>
        <w:pStyle w:val="ListParagraph"/>
        <w:numPr>
          <w:ilvl w:val="0"/>
          <w:numId w:val="2"/>
        </w:numPr>
        <w:tabs>
          <w:tab w:val="left" w:pos="270"/>
        </w:tabs>
        <w:spacing w:after="80"/>
        <w:ind w:left="990"/>
        <w:rPr>
          <w:rFonts w:ascii="Georgia" w:hAnsi="Georgia"/>
        </w:rPr>
      </w:pPr>
      <w:r w:rsidRPr="00315B02">
        <w:rPr>
          <w:rFonts w:ascii="Georgia" w:hAnsi="Georgia"/>
          <w:color w:val="333333"/>
          <w:sz w:val="22"/>
          <w:szCs w:val="22"/>
        </w:rPr>
        <w:t>Educational opportunity gaps widening between communities</w:t>
      </w:r>
    </w:p>
    <w:p w14:paraId="2225A1CA" w14:textId="77777777" w:rsidR="00D7069A" w:rsidRPr="00315B02" w:rsidRDefault="004763FA" w:rsidP="0096229A">
      <w:pPr>
        <w:pStyle w:val="ListParagraph"/>
        <w:numPr>
          <w:ilvl w:val="0"/>
          <w:numId w:val="2"/>
        </w:numPr>
        <w:tabs>
          <w:tab w:val="left" w:pos="270"/>
        </w:tabs>
        <w:spacing w:after="80"/>
        <w:ind w:left="990"/>
        <w:rPr>
          <w:rFonts w:ascii="Georgia" w:hAnsi="Georgia"/>
        </w:rPr>
      </w:pPr>
      <w:r w:rsidRPr="00315B02">
        <w:rPr>
          <w:rFonts w:ascii="Georgia" w:hAnsi="Georgia"/>
          <w:color w:val="333333"/>
          <w:sz w:val="22"/>
          <w:szCs w:val="22"/>
        </w:rPr>
        <w:t>Mental health crises straining local resources</w:t>
      </w:r>
    </w:p>
    <w:p w14:paraId="18BC8EE3" w14:textId="77777777" w:rsidR="00D7069A" w:rsidRPr="00315B02" w:rsidRDefault="004763FA" w:rsidP="0096229A">
      <w:pPr>
        <w:pStyle w:val="ListParagraph"/>
        <w:numPr>
          <w:ilvl w:val="0"/>
          <w:numId w:val="2"/>
        </w:numPr>
        <w:tabs>
          <w:tab w:val="left" w:pos="270"/>
        </w:tabs>
        <w:spacing w:after="200"/>
        <w:ind w:left="990"/>
        <w:rPr>
          <w:rFonts w:ascii="Georgia" w:hAnsi="Georgia"/>
        </w:rPr>
      </w:pPr>
      <w:r w:rsidRPr="00315B02">
        <w:rPr>
          <w:rFonts w:ascii="Georgia" w:hAnsi="Georgia"/>
          <w:color w:val="333333"/>
          <w:sz w:val="22"/>
          <w:szCs w:val="22"/>
        </w:rPr>
        <w:t>Nonprofit organizations struggling to meet surging demand</w:t>
      </w:r>
    </w:p>
    <w:p w14:paraId="190EB3FF" w14:textId="77777777" w:rsidR="005639C2" w:rsidRPr="00315B02" w:rsidRDefault="005639C2" w:rsidP="005639C2">
      <w:pPr>
        <w:spacing w:after="280"/>
        <w:rPr>
          <w:rFonts w:ascii="Georgia" w:hAnsi="Georgia"/>
          <w:color w:val="333333"/>
          <w:sz w:val="23"/>
          <w:szCs w:val="23"/>
        </w:rPr>
      </w:pPr>
      <w:r w:rsidRPr="00315B02">
        <w:rPr>
          <w:rFonts w:ascii="Georgia" w:hAnsi="Georgia"/>
          <w:color w:val="333333"/>
          <w:sz w:val="23"/>
          <w:szCs w:val="23"/>
        </w:rPr>
        <w:t>Tomorrow will bring a world we cannot yet imagine. The question isn't whether we have the vision for change, it's whether we'll marshal the resources to match it. That’s precisely why permanent community endowments matter. When opportunities arise or disaster strikes, community foundations can respond immediately with local knowledge and flexible resources.</w:t>
      </w:r>
    </w:p>
    <w:p w14:paraId="7FD2AA16" w14:textId="77777777" w:rsidR="00D7069A" w:rsidRPr="00315B02" w:rsidRDefault="004763FA">
      <w:pPr>
        <w:pStyle w:val="Heading1"/>
        <w:rPr>
          <w:rFonts w:ascii="Georgia" w:hAnsi="Georgia"/>
        </w:rPr>
      </w:pPr>
      <w:r w:rsidRPr="00315B02">
        <w:rPr>
          <w:rFonts w:ascii="Georgia" w:hAnsi="Georgia"/>
        </w:rPr>
        <w:t>The Power of Local</w:t>
      </w:r>
    </w:p>
    <w:p w14:paraId="4FD40C9F" w14:textId="77777777" w:rsidR="00D7069A" w:rsidRPr="00315B02" w:rsidRDefault="004763FA" w:rsidP="0096229A">
      <w:pPr>
        <w:spacing w:after="180"/>
        <w:ind w:left="360"/>
        <w:rPr>
          <w:rFonts w:ascii="Georgia" w:hAnsi="Georgia"/>
        </w:rPr>
      </w:pPr>
      <w:r w:rsidRPr="00315B02">
        <w:rPr>
          <w:rFonts w:ascii="Georgia" w:hAnsi="Georgia"/>
          <w:color w:val="333333"/>
          <w:sz w:val="23"/>
          <w:szCs w:val="23"/>
        </w:rPr>
        <w:lastRenderedPageBreak/>
        <w:t>Unlike national charitable organizations or commercial financial firms, community foundations are:</w:t>
      </w:r>
    </w:p>
    <w:p w14:paraId="14F508B4" w14:textId="77777777" w:rsidR="00D7069A" w:rsidRPr="00315B02" w:rsidRDefault="004763FA" w:rsidP="0096229A">
      <w:pPr>
        <w:pStyle w:val="ListParagraph"/>
        <w:numPr>
          <w:ilvl w:val="0"/>
          <w:numId w:val="3"/>
        </w:numPr>
        <w:spacing w:after="120"/>
        <w:ind w:left="1080"/>
        <w:rPr>
          <w:rFonts w:ascii="Georgia" w:hAnsi="Georgia"/>
        </w:rPr>
      </w:pPr>
      <w:r w:rsidRPr="00315B02">
        <w:rPr>
          <w:rFonts w:ascii="Georgia" w:hAnsi="Georgia"/>
          <w:b/>
          <w:bCs/>
          <w:color w:val="1B4965"/>
          <w:sz w:val="23"/>
          <w:szCs w:val="23"/>
        </w:rPr>
        <w:t xml:space="preserve">Rooted here. </w:t>
      </w:r>
      <w:r w:rsidRPr="00315B02">
        <w:rPr>
          <w:rFonts w:ascii="Georgia" w:hAnsi="Georgia"/>
          <w:color w:val="333333"/>
          <w:sz w:val="23"/>
          <w:szCs w:val="23"/>
        </w:rPr>
        <w:t>We know the streets, the schools, the neighborhoods. Our board members live here, work here, raise families here.</w:t>
      </w:r>
    </w:p>
    <w:p w14:paraId="175BAC2C" w14:textId="77777777" w:rsidR="00D7069A" w:rsidRPr="00315B02" w:rsidRDefault="004763FA" w:rsidP="0096229A">
      <w:pPr>
        <w:pStyle w:val="ListParagraph"/>
        <w:numPr>
          <w:ilvl w:val="0"/>
          <w:numId w:val="3"/>
        </w:numPr>
        <w:spacing w:after="120"/>
        <w:ind w:left="1080"/>
        <w:rPr>
          <w:rFonts w:ascii="Georgia" w:hAnsi="Georgia"/>
        </w:rPr>
      </w:pPr>
      <w:r w:rsidRPr="00315B02">
        <w:rPr>
          <w:rFonts w:ascii="Georgia" w:hAnsi="Georgia"/>
          <w:b/>
          <w:bCs/>
          <w:color w:val="1B4965"/>
          <w:sz w:val="23"/>
          <w:szCs w:val="23"/>
        </w:rPr>
        <w:t xml:space="preserve">Accountable here. </w:t>
      </w:r>
      <w:r w:rsidRPr="00315B02">
        <w:rPr>
          <w:rFonts w:ascii="Georgia" w:hAnsi="Georgia"/>
          <w:color w:val="333333"/>
          <w:sz w:val="23"/>
          <w:szCs w:val="23"/>
        </w:rPr>
        <w:t>We answer to this community—not distant shareholders or national boards.</w:t>
      </w:r>
    </w:p>
    <w:p w14:paraId="28D0F92D" w14:textId="77777777" w:rsidR="00D7069A" w:rsidRPr="00315B02" w:rsidRDefault="004763FA" w:rsidP="0096229A">
      <w:pPr>
        <w:pStyle w:val="ListParagraph"/>
        <w:numPr>
          <w:ilvl w:val="0"/>
          <w:numId w:val="3"/>
        </w:numPr>
        <w:spacing w:after="280"/>
        <w:ind w:left="1080"/>
        <w:rPr>
          <w:rFonts w:ascii="Georgia" w:hAnsi="Georgia"/>
        </w:rPr>
      </w:pPr>
      <w:r w:rsidRPr="00315B02">
        <w:rPr>
          <w:rFonts w:ascii="Georgia" w:hAnsi="Georgia"/>
          <w:b/>
          <w:bCs/>
          <w:color w:val="1B4965"/>
          <w:sz w:val="23"/>
          <w:szCs w:val="23"/>
        </w:rPr>
        <w:t xml:space="preserve">Permanent here. </w:t>
      </w:r>
      <w:r w:rsidRPr="00315B02">
        <w:rPr>
          <w:rFonts w:ascii="Georgia" w:hAnsi="Georgia"/>
          <w:color w:val="333333"/>
          <w:sz w:val="23"/>
          <w:szCs w:val="23"/>
        </w:rPr>
        <w:t>We don’t chase the next trend or relocate to the next hot market. We’re here for good.</w:t>
      </w:r>
    </w:p>
    <w:p w14:paraId="3E9A281E" w14:textId="77777777" w:rsidR="00D7069A" w:rsidRPr="00315B02" w:rsidRDefault="004763FA">
      <w:pPr>
        <w:pStyle w:val="Heading1"/>
        <w:rPr>
          <w:rFonts w:ascii="Georgia" w:hAnsi="Georgia"/>
        </w:rPr>
      </w:pPr>
      <w:r w:rsidRPr="00315B02">
        <w:rPr>
          <w:rFonts w:ascii="Georgia" w:hAnsi="Georgia"/>
        </w:rPr>
        <w:t>What Will They Remember?</w:t>
      </w:r>
    </w:p>
    <w:p w14:paraId="3B01CEE8" w14:textId="3044ED03" w:rsidR="00D7069A" w:rsidRPr="00315B02" w:rsidRDefault="004763FA">
      <w:pPr>
        <w:spacing w:after="180"/>
        <w:rPr>
          <w:rFonts w:ascii="Georgia" w:hAnsi="Georgia"/>
        </w:rPr>
      </w:pPr>
      <w:r w:rsidRPr="00315B02">
        <w:rPr>
          <w:rFonts w:ascii="Georgia" w:hAnsi="Georgia"/>
          <w:i/>
          <w:iCs/>
          <w:color w:val="333333"/>
        </w:rPr>
        <w:t xml:space="preserve">When our community looks back 50 or 100 years from now, they </w:t>
      </w:r>
      <w:r w:rsidR="0020710C" w:rsidRPr="00315B02">
        <w:rPr>
          <w:rFonts w:ascii="Georgia" w:hAnsi="Georgia"/>
          <w:i/>
          <w:iCs/>
          <w:color w:val="333333"/>
        </w:rPr>
        <w:t>may not</w:t>
      </w:r>
      <w:r w:rsidRPr="00315B02">
        <w:rPr>
          <w:rFonts w:ascii="Georgia" w:hAnsi="Georgia"/>
          <w:i/>
          <w:iCs/>
          <w:color w:val="333333"/>
        </w:rPr>
        <w:t xml:space="preserve"> remember our individual names. But they will know what we did at this moment in time.</w:t>
      </w:r>
    </w:p>
    <w:p w14:paraId="4F6B631C" w14:textId="19D7D82F" w:rsidR="00D7069A" w:rsidRPr="00315B02" w:rsidRDefault="004763FA">
      <w:pPr>
        <w:spacing w:after="160"/>
        <w:rPr>
          <w:rFonts w:ascii="Georgia" w:hAnsi="Georgia"/>
        </w:rPr>
      </w:pPr>
      <w:r w:rsidRPr="00315B02">
        <w:rPr>
          <w:rFonts w:ascii="Georgia" w:hAnsi="Georgia"/>
          <w:color w:val="333333"/>
          <w:sz w:val="23"/>
          <w:szCs w:val="23"/>
        </w:rPr>
        <w:t>They’ll inherit the scholarships we endowed, the organizations we strengthened, the collaborations we sparked, and the resources we built. They’ll benefit from decisions made by people they never knew</w:t>
      </w:r>
      <w:r w:rsidR="00815AF3" w:rsidRPr="00315B02">
        <w:rPr>
          <w:rFonts w:ascii="Georgia" w:hAnsi="Georgia"/>
          <w:color w:val="333333"/>
          <w:sz w:val="23"/>
          <w:szCs w:val="23"/>
        </w:rPr>
        <w:t>;</w:t>
      </w:r>
      <w:r w:rsidR="0020710C" w:rsidRPr="00315B02">
        <w:rPr>
          <w:rFonts w:ascii="Georgia" w:hAnsi="Georgia"/>
          <w:color w:val="333333"/>
          <w:sz w:val="23"/>
          <w:szCs w:val="23"/>
        </w:rPr>
        <w:t xml:space="preserve"> </w:t>
      </w:r>
      <w:r w:rsidRPr="00315B02">
        <w:rPr>
          <w:rFonts w:ascii="Georgia" w:hAnsi="Georgia"/>
          <w:color w:val="333333"/>
          <w:sz w:val="23"/>
          <w:szCs w:val="23"/>
        </w:rPr>
        <w:t>people who understood that true community investment means thinking beyond our own lifetimes.</w:t>
      </w:r>
    </w:p>
    <w:p w14:paraId="65C6184A" w14:textId="77777777" w:rsidR="00D7069A" w:rsidRPr="00315B02" w:rsidRDefault="004763FA">
      <w:pPr>
        <w:spacing w:after="280"/>
        <w:rPr>
          <w:rFonts w:ascii="Georgia" w:hAnsi="Georgia"/>
        </w:rPr>
      </w:pPr>
      <w:r w:rsidRPr="00315B02">
        <w:rPr>
          <w:rFonts w:ascii="Georgia" w:hAnsi="Georgia"/>
          <w:color w:val="333333"/>
          <w:sz w:val="23"/>
          <w:szCs w:val="23"/>
        </w:rPr>
        <w:t>That’s what it means to be “here for good.” Not just present in this moment, but permanent. Not just generous today but building something that lasts.</w:t>
      </w:r>
    </w:p>
    <w:p w14:paraId="7B9EB708" w14:textId="77777777" w:rsidR="00D7069A" w:rsidRPr="00315B02" w:rsidRDefault="004763FA">
      <w:pPr>
        <w:pStyle w:val="Heading1"/>
        <w:rPr>
          <w:rFonts w:ascii="Georgia" w:hAnsi="Georgia"/>
        </w:rPr>
      </w:pPr>
      <w:r w:rsidRPr="00315B02">
        <w:rPr>
          <w:rFonts w:ascii="Georgia" w:hAnsi="Georgia"/>
        </w:rPr>
        <w:t>Partner With Us</w:t>
      </w:r>
    </w:p>
    <w:p w14:paraId="12E09A2E" w14:textId="77777777" w:rsidR="00D7069A" w:rsidRPr="00315B02" w:rsidRDefault="004763FA">
      <w:pPr>
        <w:spacing w:after="140"/>
        <w:rPr>
          <w:rFonts w:ascii="Georgia" w:hAnsi="Georgia"/>
        </w:rPr>
      </w:pPr>
      <w:r w:rsidRPr="00315B02">
        <w:rPr>
          <w:rFonts w:ascii="Georgia" w:hAnsi="Georgia"/>
          <w:color w:val="333333"/>
          <w:sz w:val="23"/>
          <w:szCs w:val="23"/>
        </w:rPr>
        <w:t>There are many ways to be part of this work:</w:t>
      </w:r>
    </w:p>
    <w:p w14:paraId="4D879C52" w14:textId="77777777" w:rsidR="00D7069A" w:rsidRPr="00315B02" w:rsidRDefault="004763FA">
      <w:pPr>
        <w:pStyle w:val="ListParagraph"/>
        <w:numPr>
          <w:ilvl w:val="0"/>
          <w:numId w:val="2"/>
        </w:numPr>
        <w:spacing w:after="80"/>
        <w:rPr>
          <w:rFonts w:ascii="Georgia" w:hAnsi="Georgia"/>
        </w:rPr>
      </w:pPr>
      <w:r w:rsidRPr="00315B02">
        <w:rPr>
          <w:rFonts w:ascii="Georgia" w:hAnsi="Georgia"/>
          <w:b/>
          <w:bCs/>
          <w:color w:val="1B4965"/>
          <w:sz w:val="22"/>
          <w:szCs w:val="22"/>
        </w:rPr>
        <w:t xml:space="preserve">Give today </w:t>
      </w:r>
      <w:r w:rsidRPr="00315B02">
        <w:rPr>
          <w:rFonts w:ascii="Georgia" w:hAnsi="Georgia"/>
          <w:color w:val="333333"/>
          <w:sz w:val="22"/>
          <w:szCs w:val="22"/>
        </w:rPr>
        <w:t>through a contribution to the Foundation, one of our funds or initiatives</w:t>
      </w:r>
    </w:p>
    <w:p w14:paraId="6684C5CF" w14:textId="77777777" w:rsidR="00D7069A" w:rsidRPr="00315B02" w:rsidRDefault="004763FA">
      <w:pPr>
        <w:pStyle w:val="ListParagraph"/>
        <w:numPr>
          <w:ilvl w:val="0"/>
          <w:numId w:val="2"/>
        </w:numPr>
        <w:spacing w:after="80"/>
        <w:rPr>
          <w:rFonts w:ascii="Georgia" w:hAnsi="Georgia"/>
        </w:rPr>
      </w:pPr>
      <w:r w:rsidRPr="00315B02">
        <w:rPr>
          <w:rFonts w:ascii="Georgia" w:hAnsi="Georgia"/>
          <w:b/>
          <w:bCs/>
          <w:color w:val="1B4965"/>
          <w:sz w:val="22"/>
          <w:szCs w:val="22"/>
        </w:rPr>
        <w:t xml:space="preserve">Open a fund </w:t>
      </w:r>
      <w:r w:rsidRPr="00315B02">
        <w:rPr>
          <w:rFonts w:ascii="Georgia" w:hAnsi="Georgia"/>
          <w:color w:val="333333"/>
          <w:sz w:val="22"/>
          <w:szCs w:val="22"/>
        </w:rPr>
        <w:t>to support causes you care about, with our guidance and expertise</w:t>
      </w:r>
    </w:p>
    <w:p w14:paraId="0EA5961B" w14:textId="77777777" w:rsidR="00D7069A" w:rsidRPr="00315B02" w:rsidRDefault="004763FA">
      <w:pPr>
        <w:pStyle w:val="ListParagraph"/>
        <w:numPr>
          <w:ilvl w:val="0"/>
          <w:numId w:val="2"/>
        </w:numPr>
        <w:spacing w:after="80"/>
        <w:rPr>
          <w:rFonts w:ascii="Georgia" w:hAnsi="Georgia"/>
        </w:rPr>
      </w:pPr>
      <w:r w:rsidRPr="00315B02">
        <w:rPr>
          <w:rFonts w:ascii="Georgia" w:hAnsi="Georgia"/>
          <w:b/>
          <w:bCs/>
          <w:color w:val="1B4965"/>
          <w:sz w:val="22"/>
          <w:szCs w:val="22"/>
        </w:rPr>
        <w:t xml:space="preserve">Include us in your estate plans </w:t>
      </w:r>
      <w:r w:rsidRPr="00315B02">
        <w:rPr>
          <w:rFonts w:ascii="Georgia" w:hAnsi="Georgia"/>
          <w:color w:val="333333"/>
          <w:sz w:val="22"/>
          <w:szCs w:val="22"/>
        </w:rPr>
        <w:t>to create a legacy that outlasts your lifetime</w:t>
      </w:r>
    </w:p>
    <w:p w14:paraId="017C3F9C" w14:textId="77777777" w:rsidR="00D7069A" w:rsidRPr="00315B02" w:rsidRDefault="004763FA">
      <w:pPr>
        <w:pStyle w:val="ListParagraph"/>
        <w:numPr>
          <w:ilvl w:val="0"/>
          <w:numId w:val="2"/>
        </w:numPr>
        <w:spacing w:after="220"/>
        <w:rPr>
          <w:rFonts w:ascii="Georgia" w:hAnsi="Georgia"/>
        </w:rPr>
      </w:pPr>
      <w:r w:rsidRPr="00315B02">
        <w:rPr>
          <w:rFonts w:ascii="Georgia" w:hAnsi="Georgia"/>
          <w:b/>
          <w:bCs/>
          <w:color w:val="1B4965"/>
          <w:sz w:val="22"/>
          <w:szCs w:val="22"/>
        </w:rPr>
        <w:t xml:space="preserve">Spread the word </w:t>
      </w:r>
      <w:r w:rsidRPr="00315B02">
        <w:rPr>
          <w:rFonts w:ascii="Georgia" w:hAnsi="Georgia"/>
          <w:color w:val="333333"/>
          <w:sz w:val="22"/>
          <w:szCs w:val="22"/>
        </w:rPr>
        <w:t>about the power of community philanthropy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00"/>
      </w:tblGrid>
      <w:tr w:rsidR="00CC0FEE" w:rsidRPr="00315B02" w14:paraId="036901D8" w14:textId="77777777" w:rsidTr="0097620B">
        <w:tc>
          <w:tcPr>
            <w:tcW w:w="9340" w:type="dxa"/>
            <w:tcBorders>
              <w:top w:val="single" w:sz="8" w:space="0" w:color="1B4965"/>
              <w:left w:val="single" w:sz="8" w:space="0" w:color="1B4965"/>
              <w:bottom w:val="single" w:sz="8" w:space="0" w:color="1B4965"/>
              <w:right w:val="single" w:sz="8" w:space="0" w:color="1B4965"/>
            </w:tcBorders>
            <w:shd w:val="clear" w:color="auto" w:fill="1B4965"/>
            <w:tcMar>
              <w:top w:w="350" w:type="dxa"/>
              <w:left w:w="400" w:type="dxa"/>
              <w:bottom w:w="350" w:type="dxa"/>
              <w:right w:w="400" w:type="dxa"/>
            </w:tcMar>
          </w:tcPr>
          <w:p w14:paraId="4394991D" w14:textId="77777777" w:rsidR="00CC0FEE" w:rsidRPr="00315B02" w:rsidRDefault="00CC0FEE" w:rsidP="0097620B">
            <w:pPr>
              <w:spacing w:before="600" w:after="200"/>
              <w:jc w:val="center"/>
              <w:rPr>
                <w:rFonts w:ascii="Georgia" w:eastAsia="Georgia" w:hAnsi="Georgia" w:cs="Georgia"/>
                <w:i/>
                <w:iCs/>
                <w:color w:val="FFFFFF" w:themeColor="background1"/>
                <w:sz w:val="26"/>
                <w:szCs w:val="26"/>
              </w:rPr>
            </w:pPr>
            <w:r w:rsidRPr="00315B02">
              <w:rPr>
                <w:rFonts w:ascii="Georgia" w:eastAsia="Georgia" w:hAnsi="Georgia" w:cs="Georgia"/>
                <w:i/>
                <w:iCs/>
                <w:color w:val="FFFFFF" w:themeColor="background1"/>
                <w:sz w:val="26"/>
                <w:szCs w:val="26"/>
              </w:rPr>
              <w:t>“The true meaning of life is to plant trees under whose shade you do not expect to sit.”</w:t>
            </w:r>
          </w:p>
          <w:p w14:paraId="36C2D217" w14:textId="77777777" w:rsidR="00CC0FEE" w:rsidRPr="00315B02" w:rsidRDefault="00CC0FEE" w:rsidP="0097620B">
            <w:pPr>
              <w:jc w:val="center"/>
              <w:rPr>
                <w:rFonts w:ascii="Georgia" w:hAnsi="Georgia"/>
                <w:color w:val="FFFFFF" w:themeColor="background1"/>
              </w:rPr>
            </w:pPr>
            <w:r w:rsidRPr="00315B02">
              <w:rPr>
                <w:rFonts w:ascii="Georgia" w:eastAsia="Georgia" w:hAnsi="Georgia" w:cs="Georgia"/>
                <w:color w:val="FFFFFF" w:themeColor="background1"/>
                <w:sz w:val="20"/>
                <w:szCs w:val="20"/>
              </w:rPr>
              <w:t>— Nelson Henderson</w:t>
            </w:r>
          </w:p>
          <w:p w14:paraId="6B028D0D" w14:textId="77777777" w:rsidR="00CC0FEE" w:rsidRPr="00315B02" w:rsidRDefault="00CC0FEE" w:rsidP="00CC0FEE">
            <w:pPr>
              <w:pStyle w:val="ListParagraph"/>
              <w:numPr>
                <w:ilvl w:val="0"/>
                <w:numId w:val="4"/>
              </w:numPr>
              <w:jc w:val="center"/>
              <w:rPr>
                <w:rFonts w:ascii="Georgia" w:hAnsi="Georgia"/>
                <w:color w:val="FFFFFF" w:themeColor="background1"/>
              </w:rPr>
            </w:pPr>
          </w:p>
          <w:p w14:paraId="5BEA1D9D" w14:textId="77777777" w:rsidR="00CC0FEE" w:rsidRPr="00315B02" w:rsidRDefault="00CC0FEE" w:rsidP="00CC0FEE">
            <w:pPr>
              <w:pStyle w:val="ListParagraph"/>
              <w:numPr>
                <w:ilvl w:val="0"/>
                <w:numId w:val="4"/>
              </w:numPr>
              <w:spacing w:after="250"/>
              <w:jc w:val="center"/>
              <w:rPr>
                <w:rFonts w:ascii="Georgia" w:hAnsi="Georgia"/>
              </w:rPr>
            </w:pPr>
            <w:r w:rsidRPr="00315B02">
              <w:rPr>
                <w:rFonts w:ascii="Georgia" w:hAnsi="Georgia"/>
                <w:color w:val="FFFFFF"/>
              </w:rPr>
              <w:t>Contact us to learn how you can shape our community’s future.</w:t>
            </w:r>
          </w:p>
          <w:p w14:paraId="3F7EED79" w14:textId="77777777" w:rsidR="00CC0FEE" w:rsidRPr="00315B02" w:rsidRDefault="00CC0FEE" w:rsidP="00CC0FEE">
            <w:pPr>
              <w:pStyle w:val="ListParagraph"/>
              <w:numPr>
                <w:ilvl w:val="0"/>
                <w:numId w:val="4"/>
              </w:numPr>
              <w:spacing w:after="150"/>
              <w:jc w:val="center"/>
              <w:rPr>
                <w:rFonts w:ascii="Georgia" w:hAnsi="Georgia"/>
              </w:rPr>
            </w:pPr>
            <w:r w:rsidRPr="00315B02">
              <w:rPr>
                <w:rFonts w:ascii="Georgia" w:hAnsi="Georgia"/>
                <w:b/>
                <w:bCs/>
                <w:color w:val="CAAE53"/>
                <w:sz w:val="22"/>
                <w:szCs w:val="22"/>
              </w:rPr>
              <w:t>[Your Community Foundation]</w:t>
            </w:r>
          </w:p>
        </w:tc>
      </w:tr>
    </w:tbl>
    <w:p w14:paraId="7787F740" w14:textId="65D8A73C" w:rsidR="00D7069A" w:rsidRPr="00315B02" w:rsidRDefault="00D7069A">
      <w:pPr>
        <w:jc w:val="center"/>
        <w:rPr>
          <w:rFonts w:ascii="Georgia" w:hAnsi="Georgia"/>
        </w:rPr>
      </w:pPr>
    </w:p>
    <w:sectPr w:rsidR="00D7069A" w:rsidRPr="00315B02">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C4DDB"/>
    <w:multiLevelType w:val="hybridMultilevel"/>
    <w:tmpl w:val="3FB0CB1A"/>
    <w:lvl w:ilvl="0" w:tplc="444ED446">
      <w:start w:val="1"/>
      <w:numFmt w:val="bullet"/>
      <w:lvlText w:val="●"/>
      <w:lvlJc w:val="left"/>
      <w:pPr>
        <w:ind w:left="720" w:hanging="360"/>
      </w:pPr>
    </w:lvl>
    <w:lvl w:ilvl="1" w:tplc="05420D4C">
      <w:start w:val="1"/>
      <w:numFmt w:val="bullet"/>
      <w:lvlText w:val="○"/>
      <w:lvlJc w:val="left"/>
      <w:pPr>
        <w:ind w:left="1440" w:hanging="360"/>
      </w:pPr>
    </w:lvl>
    <w:lvl w:ilvl="2" w:tplc="5F6A029A">
      <w:start w:val="1"/>
      <w:numFmt w:val="bullet"/>
      <w:lvlText w:val="■"/>
      <w:lvlJc w:val="left"/>
      <w:pPr>
        <w:ind w:left="2160" w:hanging="360"/>
      </w:pPr>
    </w:lvl>
    <w:lvl w:ilvl="3" w:tplc="4A6C9D92">
      <w:start w:val="1"/>
      <w:numFmt w:val="bullet"/>
      <w:lvlText w:val="●"/>
      <w:lvlJc w:val="left"/>
      <w:pPr>
        <w:ind w:left="2880" w:hanging="360"/>
      </w:pPr>
    </w:lvl>
    <w:lvl w:ilvl="4" w:tplc="575852EE">
      <w:start w:val="1"/>
      <w:numFmt w:val="bullet"/>
      <w:lvlText w:val="○"/>
      <w:lvlJc w:val="left"/>
      <w:pPr>
        <w:ind w:left="3600" w:hanging="360"/>
      </w:pPr>
    </w:lvl>
    <w:lvl w:ilvl="5" w:tplc="0B7C134E">
      <w:start w:val="1"/>
      <w:numFmt w:val="bullet"/>
      <w:lvlText w:val="■"/>
      <w:lvlJc w:val="left"/>
      <w:pPr>
        <w:ind w:left="4320" w:hanging="360"/>
      </w:pPr>
    </w:lvl>
    <w:lvl w:ilvl="6" w:tplc="EBAEF222">
      <w:start w:val="1"/>
      <w:numFmt w:val="bullet"/>
      <w:lvlText w:val="●"/>
      <w:lvlJc w:val="left"/>
      <w:pPr>
        <w:ind w:left="5040" w:hanging="360"/>
      </w:pPr>
    </w:lvl>
    <w:lvl w:ilvl="7" w:tplc="AB78A4C6">
      <w:start w:val="1"/>
      <w:numFmt w:val="bullet"/>
      <w:lvlText w:val="●"/>
      <w:lvlJc w:val="left"/>
      <w:pPr>
        <w:ind w:left="5760" w:hanging="360"/>
      </w:pPr>
    </w:lvl>
    <w:lvl w:ilvl="8" w:tplc="CBD8C83C">
      <w:start w:val="1"/>
      <w:numFmt w:val="bullet"/>
      <w:lvlText w:val="●"/>
      <w:lvlJc w:val="left"/>
      <w:pPr>
        <w:ind w:left="6480" w:hanging="360"/>
      </w:pPr>
    </w:lvl>
  </w:abstractNum>
  <w:abstractNum w:abstractNumId="1" w15:restartNumberingAfterBreak="0">
    <w:nsid w:val="1C0E7C6E"/>
    <w:multiLevelType w:val="hybridMultilevel"/>
    <w:tmpl w:val="B028652A"/>
    <w:lvl w:ilvl="0" w:tplc="89D67A0E">
      <w:start w:val="1"/>
      <w:numFmt w:val="bullet"/>
      <w:lvlText w:val="•"/>
      <w:lvlJc w:val="left"/>
      <w:pPr>
        <w:ind w:left="720" w:hanging="360"/>
      </w:pPr>
    </w:lvl>
    <w:lvl w:ilvl="1" w:tplc="05CCDF18">
      <w:numFmt w:val="decimal"/>
      <w:lvlText w:val=""/>
      <w:lvlJc w:val="left"/>
    </w:lvl>
    <w:lvl w:ilvl="2" w:tplc="4894D1EC">
      <w:numFmt w:val="decimal"/>
      <w:lvlText w:val=""/>
      <w:lvlJc w:val="left"/>
    </w:lvl>
    <w:lvl w:ilvl="3" w:tplc="C5AAA5B2">
      <w:numFmt w:val="decimal"/>
      <w:lvlText w:val=""/>
      <w:lvlJc w:val="left"/>
    </w:lvl>
    <w:lvl w:ilvl="4" w:tplc="2FE03056">
      <w:numFmt w:val="decimal"/>
      <w:lvlText w:val=""/>
      <w:lvlJc w:val="left"/>
    </w:lvl>
    <w:lvl w:ilvl="5" w:tplc="C85E54A4">
      <w:numFmt w:val="decimal"/>
      <w:lvlText w:val=""/>
      <w:lvlJc w:val="left"/>
    </w:lvl>
    <w:lvl w:ilvl="6" w:tplc="AAE8F0F6">
      <w:numFmt w:val="decimal"/>
      <w:lvlText w:val=""/>
      <w:lvlJc w:val="left"/>
    </w:lvl>
    <w:lvl w:ilvl="7" w:tplc="A396214C">
      <w:numFmt w:val="decimal"/>
      <w:lvlText w:val=""/>
      <w:lvlJc w:val="left"/>
    </w:lvl>
    <w:lvl w:ilvl="8" w:tplc="AB600098">
      <w:numFmt w:val="decimal"/>
      <w:lvlText w:val=""/>
      <w:lvlJc w:val="left"/>
    </w:lvl>
  </w:abstractNum>
  <w:abstractNum w:abstractNumId="2" w15:restartNumberingAfterBreak="0">
    <w:nsid w:val="32DE34A1"/>
    <w:multiLevelType w:val="hybridMultilevel"/>
    <w:tmpl w:val="9AD2D078"/>
    <w:lvl w:ilvl="0" w:tplc="B1F204FC">
      <w:start w:val="3"/>
      <w:numFmt w:val="bullet"/>
      <w:lvlText w:val="-"/>
      <w:lvlJc w:val="left"/>
      <w:pPr>
        <w:ind w:left="360" w:hanging="360"/>
      </w:pPr>
      <w:rPr>
        <w:rFonts w:ascii="Cambria" w:eastAsia="Cambria" w:hAnsi="Cambria" w:cs="Cambria" w:hint="default"/>
        <w:b/>
        <w:color w:val="1B496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CA03B04"/>
    <w:multiLevelType w:val="hybridMultilevel"/>
    <w:tmpl w:val="8D8C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503119">
    <w:abstractNumId w:val="0"/>
    <w:lvlOverride w:ilvl="0">
      <w:startOverride w:val="1"/>
    </w:lvlOverride>
  </w:num>
  <w:num w:numId="2" w16cid:durableId="431366947">
    <w:abstractNumId w:val="1"/>
    <w:lvlOverride w:ilvl="0">
      <w:startOverride w:val="1"/>
    </w:lvlOverride>
  </w:num>
  <w:num w:numId="3" w16cid:durableId="1080130523">
    <w:abstractNumId w:val="3"/>
  </w:num>
  <w:num w:numId="4" w16cid:durableId="252324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9A"/>
    <w:rsid w:val="00022DDA"/>
    <w:rsid w:val="00043212"/>
    <w:rsid w:val="001E289F"/>
    <w:rsid w:val="0020710C"/>
    <w:rsid w:val="002432C2"/>
    <w:rsid w:val="00315B02"/>
    <w:rsid w:val="00406D88"/>
    <w:rsid w:val="00440353"/>
    <w:rsid w:val="004763FA"/>
    <w:rsid w:val="00490A4A"/>
    <w:rsid w:val="004C4293"/>
    <w:rsid w:val="005639C2"/>
    <w:rsid w:val="00622BF3"/>
    <w:rsid w:val="00815AF3"/>
    <w:rsid w:val="00880D17"/>
    <w:rsid w:val="0096229A"/>
    <w:rsid w:val="009C1030"/>
    <w:rsid w:val="00A83E33"/>
    <w:rsid w:val="00AC3AC3"/>
    <w:rsid w:val="00CC0FEE"/>
    <w:rsid w:val="00D7069A"/>
    <w:rsid w:val="00D875B2"/>
    <w:rsid w:val="00EF5998"/>
    <w:rsid w:val="00FB0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96F1"/>
  <w15:docId w15:val="{582DC1B3-A55C-4F25-9FF8-3FE94C5F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1B4965"/>
      <w:sz w:val="32"/>
      <w:szCs w:val="32"/>
    </w:rPr>
  </w:style>
  <w:style w:type="paragraph" w:styleId="Heading2">
    <w:name w:val="heading 2"/>
    <w:link w:val="Heading2Char"/>
    <w:uiPriority w:val="9"/>
    <w:unhideWhenUsed/>
    <w:qFormat/>
    <w:pPr>
      <w:spacing w:before="280" w:after="140"/>
      <w:outlineLvl w:val="1"/>
    </w:pPr>
    <w:rPr>
      <w:b/>
      <w:bCs/>
      <w:color w:val="1B496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2Char">
    <w:name w:val="Heading 2 Char"/>
    <w:basedOn w:val="DefaultParagraphFont"/>
    <w:link w:val="Heading2"/>
    <w:uiPriority w:val="9"/>
    <w:rsid w:val="00A83E33"/>
    <w:rPr>
      <w:b/>
      <w:bCs/>
      <w:color w:val="1B496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6F2D300C251A4BBE3AF585740EAAD4" ma:contentTypeVersion="19" ma:contentTypeDescription="Create a new document." ma:contentTypeScope="" ma:versionID="5961044693e1db38e73d6e0905ed9d48">
  <xsd:schema xmlns:xsd="http://www.w3.org/2001/XMLSchema" xmlns:xs="http://www.w3.org/2001/XMLSchema" xmlns:p="http://schemas.microsoft.com/office/2006/metadata/properties" xmlns:ns2="d9086dc9-022e-4905-beb9-60f682b5b00f" xmlns:ns3="5da7cbdf-fc97-471b-ba54-1ff4e1211795" targetNamespace="http://schemas.microsoft.com/office/2006/metadata/properties" ma:root="true" ma:fieldsID="e0846308bcedb5feade28a5c2ff3aae3" ns2:_="" ns3:_="">
    <xsd:import namespace="d9086dc9-022e-4905-beb9-60f682b5b00f"/>
    <xsd:import namespace="5da7cbdf-fc97-471b-ba54-1ff4e12117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86dc9-022e-4905-beb9-60f682b5b0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cc10bad-ec3c-44a0-b094-a52a5728c3f5}" ma:internalName="TaxCatchAll" ma:showField="CatchAllData" ma:web="d9086dc9-022e-4905-beb9-60f682b5b0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a7cbdf-fc97-471b-ba54-1ff4e121179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f2bed7-94be-4711-8014-f1e6badb1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a7cbdf-fc97-471b-ba54-1ff4e1211795">
      <Terms xmlns="http://schemas.microsoft.com/office/infopath/2007/PartnerControls"/>
    </lcf76f155ced4ddcb4097134ff3c332f>
    <TaxCatchAll xmlns="d9086dc9-022e-4905-beb9-60f682b5b0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7B24F-480B-4882-8913-E9DEADD7F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86dc9-022e-4905-beb9-60f682b5b00f"/>
    <ds:schemaRef ds:uri="5da7cbdf-fc97-471b-ba54-1ff4e1211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8E53E-91C6-42E5-AD13-F0BA163EEDA6}">
  <ds:schemaRefs>
    <ds:schemaRef ds:uri="http://schemas.microsoft.com/office/2006/metadata/properties"/>
    <ds:schemaRef ds:uri="http://schemas.microsoft.com/office/infopath/2007/PartnerControls"/>
    <ds:schemaRef ds:uri="5da7cbdf-fc97-471b-ba54-1ff4e1211795"/>
    <ds:schemaRef ds:uri="d9086dc9-022e-4905-beb9-60f682b5b00f"/>
  </ds:schemaRefs>
</ds:datastoreItem>
</file>

<file path=customXml/itemProps3.xml><?xml version="1.0" encoding="utf-8"?>
<ds:datastoreItem xmlns:ds="http://schemas.openxmlformats.org/officeDocument/2006/customXml" ds:itemID="{C3EEB9C8-CFC9-480D-ABC4-6C5E1E386B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910</Words>
  <Characters>5115</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Monika Collins</cp:lastModifiedBy>
  <cp:revision>9</cp:revision>
  <dcterms:created xsi:type="dcterms:W3CDTF">2026-01-15T14:44:00Z</dcterms:created>
  <dcterms:modified xsi:type="dcterms:W3CDTF">2026-01-26T22:16:00Z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0x0101009C6F2D300C251A4BBE3AF585740EAAD4</vt:lpwstr>
  </property>
</Properties>
</file>